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3F" w:rsidRDefault="005E6D3F" w:rsidP="006B1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 wp14:anchorId="10807F05">
            <wp:extent cx="4247560" cy="282892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6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023" w:rsidRPr="006B1023" w:rsidRDefault="006B1023" w:rsidP="006B1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6B1023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Fondo per investimenti innovativi delle imprese agricole</w:t>
      </w:r>
    </w:p>
    <w:p w:rsidR="006B1023" w:rsidRPr="006B1023" w:rsidRDefault="006B1023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BENEFICIARI</w:t>
      </w:r>
    </w:p>
    <w:p w:rsidR="006B1023" w:rsidRPr="006B1023" w:rsidRDefault="00A821C2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B1023"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mprese agricole attive nel settore della trasformazione di prodotti agricoli e della commercializzazione di prodotti agricoli.</w:t>
      </w:r>
    </w:p>
    <w:p w:rsidR="006B1023" w:rsidRPr="006B1023" w:rsidRDefault="006B1023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data di presentazione della domanda di agevolazione, le imprese devono:</w:t>
      </w:r>
    </w:p>
    <w:p w:rsidR="006B1023" w:rsidRPr="006B1023" w:rsidRDefault="006B1023" w:rsidP="006B1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Risultare iscritte presso INPS o INAIL</w:t>
      </w:r>
    </w:p>
    <w:p w:rsidR="006B1023" w:rsidRPr="006B1023" w:rsidRDefault="006B1023" w:rsidP="006B1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Presentare una posizione contributiva regolare</w:t>
      </w:r>
    </w:p>
    <w:p w:rsidR="006B1023" w:rsidRPr="006B1023" w:rsidRDefault="006B1023" w:rsidP="006B1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Risultare in regola con gli adempimenti fiscali</w:t>
      </w:r>
    </w:p>
    <w:p w:rsidR="006B1023" w:rsidRDefault="006B1023" w:rsidP="006B1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sottoposta a procedure concorsuali e non trovarsi in stato di fallimento</w:t>
      </w:r>
    </w:p>
    <w:p w:rsidR="00A821C2" w:rsidRPr="00A821C2" w:rsidRDefault="00A821C2" w:rsidP="00A82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821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SPESE AMMISSE </w:t>
      </w:r>
    </w:p>
    <w:p w:rsidR="00A821C2" w:rsidRDefault="00A821C2" w:rsidP="00A82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ammesse spese per </w:t>
      </w: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investimenti in beni materiali strumentali nuovi </w:t>
      </w:r>
    </w:p>
    <w:p w:rsidR="006B1023" w:rsidRPr="006B1023" w:rsidRDefault="006B1023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BENEFICIO</w:t>
      </w:r>
    </w:p>
    <w:p w:rsidR="006B1023" w:rsidRPr="006B1023" w:rsidRDefault="006B1023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I contributi sono concessi, sotto forma di fondo perduto, nella misura del:</w:t>
      </w:r>
    </w:p>
    <w:p w:rsidR="006B1023" w:rsidRPr="006B1023" w:rsidRDefault="006B1023" w:rsidP="006B1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40% delle spese relative all'acquisto di beni strumentali 4.0 materiali o immateriali, ammortizzabili</w:t>
      </w:r>
    </w:p>
    <w:p w:rsidR="006B1023" w:rsidRPr="006B1023" w:rsidRDefault="006B1023" w:rsidP="006B1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30% delle spese relative all'acquisto di beni strumentali ammortizzabili diversi dai beni 4.0</w:t>
      </w:r>
    </w:p>
    <w:p w:rsidR="006B1023" w:rsidRPr="006B1023" w:rsidRDefault="005E6D3F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PRESENTAZIONE DOMANDA</w:t>
      </w:r>
      <w:bookmarkStart w:id="0" w:name="_GoBack"/>
      <w:bookmarkEnd w:id="0"/>
    </w:p>
    <w:p w:rsidR="006B1023" w:rsidRPr="006B1023" w:rsidRDefault="006B1023" w:rsidP="006B1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023">
        <w:rPr>
          <w:rFonts w:ascii="Times New Roman" w:eastAsia="Times New Roman" w:hAnsi="Times New Roman" w:cs="Times New Roman"/>
          <w:sz w:val="24"/>
          <w:szCs w:val="24"/>
          <w:lang w:eastAsia="it-IT"/>
        </w:rPr>
        <w:t>Le imprese agricole presentano domande di concessione a partire dal 23 Maggio 2022 en entro il 23 Giugno 2022</w:t>
      </w:r>
    </w:p>
    <w:p w:rsidR="002E431E" w:rsidRDefault="002E431E"/>
    <w:sectPr w:rsidR="002E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7A0"/>
    <w:multiLevelType w:val="multilevel"/>
    <w:tmpl w:val="5F9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E216A"/>
    <w:multiLevelType w:val="multilevel"/>
    <w:tmpl w:val="455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23"/>
    <w:rsid w:val="002E431E"/>
    <w:rsid w:val="005E6D3F"/>
    <w:rsid w:val="006B1023"/>
    <w:rsid w:val="00A821C2"/>
    <w:rsid w:val="00E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annarita.costa</cp:lastModifiedBy>
  <cp:revision>5</cp:revision>
  <dcterms:created xsi:type="dcterms:W3CDTF">2022-05-06T11:04:00Z</dcterms:created>
  <dcterms:modified xsi:type="dcterms:W3CDTF">2022-05-06T12:04:00Z</dcterms:modified>
</cp:coreProperties>
</file>